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hanging="0" w:left="0" w:right="0"/>
        <w:jc w:val="center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/>
        <w:drawing>
          <wp:inline distT="0" distB="0" distL="0" distR="0">
            <wp:extent cx="577215" cy="495935"/>
            <wp:effectExtent l="0" t="0" r="0" b="0"/>
            <wp:docPr id="1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" cy="49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hanging="0" w:left="0" w:right="0"/>
        <w:jc w:val="center"/>
        <w:rPr>
          <w:b/>
          <w:bCs/>
        </w:rPr>
      </w:pPr>
      <w:r>
        <w:rPr>
          <w:rFonts w:eastAsia="Arial" w:cs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>PODER JUDICIÁRIO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hanging="0" w:left="0" w:right="0"/>
        <w:jc w:val="center"/>
        <w:rPr>
          <w:b/>
          <w:bCs/>
        </w:rPr>
      </w:pPr>
      <w:r>
        <w:rPr>
          <w:rFonts w:eastAsia="Arial" w:cs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>TRIBUNAL DE JUSTIÇA DO ESTADO DO AMAZONAS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hanging="0" w:left="0" w:right="0"/>
        <w:jc w:val="center"/>
        <w:rPr>
          <w:b/>
          <w:bCs/>
        </w:rPr>
      </w:pPr>
      <w:r>
        <w:rPr>
          <w:rFonts w:eastAsia="Arial" w:cs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 xml:space="preserve">Secretaria da Terceira Câmara Cível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hanging="0" w:left="0" w:right="0"/>
        <w:jc w:val="center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19"/>
          <w:sz w:val="19"/>
          <w:szCs w:val="19"/>
          <w:u w:val="none"/>
          <w:shd w:fill="auto" w:val="clear"/>
          <w:vertAlign w:val="baseline"/>
        </w:rPr>
      </w:pPr>
      <w:r>
        <w:rPr/>
      </w:r>
    </w:p>
    <w:p>
      <w:pPr>
        <w:pStyle w:val="Normal1"/>
        <w:pageBreakBefore w:val="false"/>
        <w:widowControl w:val="false"/>
        <w:pBdr/>
        <w:shd w:val="clear" w:fill="auto"/>
        <w:bidi w:val="0"/>
        <w:spacing w:lineRule="auto" w:line="228" w:before="0" w:after="0"/>
        <w:ind w:hanging="0" w:left="0" w:right="-57"/>
        <w:jc w:val="center"/>
        <w:rPr>
          <w:b/>
          <w:bCs/>
          <w:sz w:val="28"/>
          <w:szCs w:val="28"/>
        </w:rPr>
      </w:pPr>
      <w:r>
        <w:rPr>
          <w:rFonts w:eastAsia="Arial" w:cs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Orientações para Sustentação Oral por Videoconferência</w:t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firstLine="1134" w:left="0" w:right="-57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u w:val="none"/>
          <w:shd w:fill="auto" w:val="clear"/>
          <w:vertAlign w:val="baseline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O pedido de sustentação oral deve ser apresentado nos autos até 05 dias úteis após a publicação da pauta de julgamento eletrônico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art.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59,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§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1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º do RITJAM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, indicando o email para envio do link da sessão.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color w:val="000000"/>
          <w:lang w:eastAsia="en-US" w:bidi="ar-SA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A pauta e o link da sessão são enviados até a quinta-feira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anterior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à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sessão para o email indicado em petição protocolizada nos autos, desde que deferido o pedido de sustentação oral pelo Relator.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Inexistindo o pedido ou in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deferi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d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o, o acompanhamento da sessão deve ser feito pelo YouTube, cujo endereço é atualizado n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o site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do TJAM.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color w:val="000000"/>
          <w:lang w:eastAsia="en-US" w:bidi="ar-SA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  <w:lang w:eastAsia="en-US" w:bidi="ar-SA"/>
        </w:rPr>
        <w:t>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advogado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deve acessar o link até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3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0 minutos antes do início da sessão, usando seu NOME, OAB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e o número do processo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, sob pena de não ser admitido na videoconferência por falta de identificação, e aguardar na "Sala de Espera" do aplicativo Zoom até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que seu processo seja apregoado, oportunidade em que será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admi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t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id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color w:val="000000"/>
          <w:lang w:eastAsia="en-US" w:bidi="ar-SA"/>
        </w:rPr>
      </w:pPr>
      <w:r>
        <w:rPr>
          <w:sz w:val="24"/>
          <w:szCs w:val="24"/>
        </w:rPr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firstLine="1134" w:left="0" w:right="-57"/>
        <w:jc w:val="both"/>
        <w:rPr>
          <w:sz w:val="24"/>
          <w:szCs w:val="24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eastAsia="en-US" w:bidi="ar-SA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color w:val="000000"/>
          <w:lang w:eastAsia="en-US" w:bidi="ar-SA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  <w:lang w:eastAsia="en-US" w:bidi="ar-SA"/>
        </w:rPr>
        <w:t>Caso haja mudança de advogado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para a sustentação, favor informar até o início da sessão pelo telefone da Secretária,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indicado na pauta,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informando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o número do processo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e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novo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patrono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e 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su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a OAB, sob pena de não ser admitido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>(a)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na videoconferência por falta de identificação. Permanece válido o link enviado pela Secretaria ao </w:t>
      </w:r>
      <w:r>
        <w:rPr>
          <w:rFonts w:eastAsia="Arial" w:cs="Arial"/>
          <w:i/>
          <w:iCs/>
          <w:color w:val="000000"/>
          <w:sz w:val="24"/>
          <w:szCs w:val="24"/>
          <w:lang w:eastAsia="en-US" w:bidi="ar-SA"/>
        </w:rPr>
        <w:t>email</w:t>
      </w:r>
      <w:r>
        <w:rPr>
          <w:rFonts w:eastAsia="Arial" w:cs="Arial"/>
          <w:color w:val="000000"/>
          <w:sz w:val="24"/>
          <w:szCs w:val="24"/>
          <w:lang w:eastAsia="en-US" w:bidi="ar-SA"/>
        </w:rPr>
        <w:t xml:space="preserve"> do advogado anteriormente inscrito.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color w:val="000000"/>
          <w:lang w:eastAsia="en-US" w:bidi="ar-SA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color w:val="000000"/>
          <w:sz w:val="24"/>
          <w:szCs w:val="24"/>
          <w:lang w:eastAsia="en-US" w:bidi="ar-SA"/>
        </w:rPr>
        <w:t>Processos com segredo de justiça não são transmitidos pelo YouTube.</w:t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rFonts w:ascii="Arial" w:hAnsi="Arial" w:eastAsia="Arial" w:cs="Arial"/>
          <w:b/>
          <w:bCs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u w:val="none"/>
          <w:shd w:fill="auto" w:val="clear"/>
          <w:vertAlign w:val="baseline"/>
          <w:lang w:eastAsia="en-US" w:bidi="ar-SA"/>
        </w:rPr>
      </w:pPr>
      <w:r>
        <w:rPr>
          <w:sz w:val="24"/>
          <w:szCs w:val="24"/>
        </w:rPr>
      </w:r>
    </w:p>
    <w:p>
      <w:pPr>
        <w:pStyle w:val="Normal"/>
        <w:widowControl/>
        <w:pBdr/>
        <w:bidi w:val="0"/>
        <w:spacing w:lineRule="auto" w:line="240" w:before="0" w:after="0"/>
        <w:ind w:firstLine="1134" w:left="0" w:right="0"/>
        <w:jc w:val="both"/>
        <w:rPr>
          <w:sz w:val="24"/>
          <w:szCs w:val="24"/>
        </w:rPr>
      </w:pPr>
      <w:r>
        <w:rPr>
          <w:rFonts w:eastAsia="Arial" w:cs="Arial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eastAsia="en-US" w:bidi="ar-SA"/>
        </w:rPr>
        <w:t>Observação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eastAsia="en-US" w:bidi="ar-SA"/>
        </w:rPr>
        <w:t xml:space="preserve">: Os processos adiados ou constantes de pautas anteriores, serão incluídos, automaticamente, na pauta subsequente,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eastAsia="en-US" w:bidi="ar-SA"/>
        </w:rPr>
        <w:t>exceto quando há designação expressa em razão de afastamento legal do Relator / membros votantes, o que constará na certidão de julgamento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eastAsia="en-US" w:bidi="ar-SA"/>
        </w:rPr>
        <w:t>.</w:t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firstLine="1134" w:left="0" w:right="-57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u w:val="none"/>
          <w:shd w:fill="auto" w:val="clear"/>
          <w:vertAlign w:val="baseline"/>
        </w:rPr>
      </w:pPr>
      <w:r>
        <w:rPr>
          <w:sz w:val="24"/>
          <w:szCs w:val="24"/>
        </w:rPr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firstLine="1134" w:left="0" w:right="-57"/>
        <w:jc w:val="left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u w:val="none"/>
          <w:shd w:fill="auto" w:val="clear"/>
          <w:vertAlign w:val="baseline"/>
        </w:rPr>
      </w:pPr>
      <w:r>
        <w:rPr>
          <w:sz w:val="24"/>
          <w:szCs w:val="24"/>
        </w:rPr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hanging="0" w:left="0" w:right="-57"/>
        <w:jc w:val="center"/>
        <w:rPr>
          <w:sz w:val="24"/>
          <w:szCs w:val="24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Desembargador Airton Luís Corrêa Gentil</w:t>
      </w:r>
    </w:p>
    <w:p>
      <w:pPr>
        <w:pStyle w:val="Normal1"/>
        <w:widowControl w:val="false"/>
        <w:pBdr/>
        <w:shd w:val="clear" w:fill="auto"/>
        <w:bidi w:val="0"/>
        <w:spacing w:lineRule="auto" w:line="228" w:before="0" w:after="0"/>
        <w:ind w:hanging="0" w:left="0" w:right="-57"/>
        <w:jc w:val="center"/>
        <w:rPr>
          <w:sz w:val="24"/>
          <w:szCs w:val="24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Presidente da Terceira Câmara Cível</w:t>
      </w:r>
    </w:p>
    <w:sectPr>
      <w:footerReference w:type="default" r:id="rId3"/>
      <w:type w:val="nextPage"/>
      <w:pgSz w:w="12240" w:h="15840"/>
      <w:pgMar w:left="1702" w:right="903" w:gutter="0" w:header="0" w:top="720" w:footer="1970" w:bottom="2689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keepNext w:val="false"/>
      <w:keepLines w:val="false"/>
      <w:pageBreakBefore w:val="false"/>
      <w:widowControl w:val="false"/>
      <w:pBdr/>
      <w:shd w:val="clear" w:fill="auto"/>
      <w:spacing w:lineRule="auto" w:line="240" w:before="0" w:after="0"/>
      <w:ind w:hanging="0" w:left="0" w:right="0"/>
      <w:jc w:val="center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FF"/>
        <w:position w:val="0"/>
        <w:sz w:val="19"/>
        <w:sz w:val="19"/>
        <w:szCs w:val="19"/>
        <w:u w:val="none"/>
        <w:shd w:fill="auto" w:val="clear"/>
        <w:vertAlign w:val="baseline"/>
      </w:rPr>
    </w:pPr>
    <w:r>
      <w:rPr>
        <w:rFonts w:eastAsia="Arial" w:cs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19"/>
        <w:sz w:val="19"/>
        <w:szCs w:val="19"/>
        <w:u w:val="none"/>
        <w:shd w:fill="auto" w:val="clear"/>
        <w:vertAlign w:val="baseline"/>
      </w:rPr>
      <w:t xml:space="preserve">Endereço Eletrônico: </w:t>
    </w:r>
    <w:r>
      <w:rPr>
        <w:rFonts w:eastAsia="Arial" w:cs="Arial"/>
        <w:b w:val="false"/>
        <w:i w:val="false"/>
        <w:caps w:val="false"/>
        <w:smallCaps w:val="false"/>
        <w:strike w:val="false"/>
        <w:dstrike w:val="false"/>
        <w:color w:val="0000FF"/>
        <w:position w:val="0"/>
        <w:sz w:val="19"/>
        <w:sz w:val="19"/>
        <w:szCs w:val="19"/>
        <w:u w:val="none"/>
        <w:shd w:fill="auto" w:val="clear"/>
        <w:vertAlign w:val="baseline"/>
      </w:rPr>
      <w:t xml:space="preserve">sec.3camara.civel@tjam.jus.br </w:t>
    </w:r>
  </w:p>
  <w:p>
    <w:pPr>
      <w:pStyle w:val="Normal1"/>
      <w:keepNext w:val="false"/>
      <w:keepLines w:val="false"/>
      <w:widowControl w:val="false"/>
      <w:pBdr/>
      <w:shd w:val="clear" w:fill="auto"/>
      <w:spacing w:lineRule="auto" w:line="240" w:before="0" w:after="0"/>
      <w:ind w:hanging="0" w:left="0" w:right="0"/>
      <w:jc w:val="center"/>
      <w:rPr>
        <w:rFonts w:ascii="Arial" w:hAnsi="Arial" w:eastAsia="Arial" w:cs="Arial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19"/>
        <w:sz w:val="19"/>
        <w:szCs w:val="19"/>
        <w:u w:val="none"/>
        <w:shd w:fill="auto" w:val="clear"/>
        <w:vertAlign w:val="baseline"/>
      </w:rPr>
    </w:pPr>
    <w:r>
      <w:rPr>
        <w:rFonts w:eastAsia="Arial" w:cs="Arial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19"/>
        <w:sz w:val="19"/>
        <w:szCs w:val="19"/>
        <w:u w:val="none"/>
        <w:shd w:fill="auto" w:val="clear"/>
        <w:vertAlign w:val="baseline"/>
      </w:rPr>
      <w:t>Contato telefônico: (92) 21296722</w:t>
    </w:r>
  </w:p>
</w:ftr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Normal1" w:default="1">
    <w:name w:val="normal1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eRodap">
    <w:name w:val="Cabeçalho e Rodapé"/>
    <w:basedOn w:val="Normal"/>
    <w:qFormat/>
    <w:pPr>
      <w:suppressLineNumbers/>
      <w:tabs>
        <w:tab w:val="clear" w:pos="720"/>
        <w:tab w:val="center" w:pos="4817" w:leader="none"/>
        <w:tab w:val="right" w:pos="9635" w:leader="none"/>
      </w:tabs>
    </w:pPr>
    <w:rPr/>
  </w:style>
  <w:style w:type="paragraph" w:styleId="Footer">
    <w:name w:val="Footer"/>
    <w:basedOn w:val="CabealhoeRodap"/>
    <w:pPr>
      <w:suppressLineNumbers/>
    </w:pPr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28</TotalTime>
  <Application>LibreOffice/7.6.2.1$Windows_X86_64 LibreOffice_project/56f7684011345957bbf33a7ee678afaf4d2ba333</Application>
  <AppVersion>15.0000</AppVersion>
  <Pages>1</Pages>
  <Words>344</Words>
  <Characters>1907</Characters>
  <CharactersWithSpaces>2238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2024-02-22T09:40:45Z</dcterms:modified>
  <cp:revision>1</cp:revision>
  <dc:subject/>
  <dc:title/>
</cp:coreProperties>
</file>