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bCs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bCs w:val="1"/>
          <w:sz w:val="30"/>
          <w:szCs w:val="30"/>
        </w:rPr>
      </w:pPr>
      <w:r w:rsidDel="00000000" w:rsidR="00000000" w:rsidRPr="00000000">
        <w:rPr>
          <w:b w:val="1"/>
          <w:bCs w:val="1"/>
          <w:sz w:val="30"/>
          <w:szCs w:val="30"/>
          <w:rtl w:val="0"/>
        </w:rPr>
        <w:t xml:space="preserve">AVISO</w:t>
      </w:r>
    </w:p>
    <w:p w:rsidR="00000000" w:rsidDel="00000000" w:rsidP="00000000" w:rsidRDefault="00000000" w:rsidRPr="00000000" w14:paraId="00000004">
      <w:pPr>
        <w:jc w:val="center"/>
        <w:rPr>
          <w:b w:val="1"/>
          <w:bCs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Comunicamos, de ordem do Exmo. Sr. Des. Paulo Lima, Presidente em exercício da Primeira Câmara Cível, que </w:t>
      </w:r>
      <w:r w:rsidDel="00000000" w:rsidR="00000000" w:rsidRPr="00000000">
        <w:rPr>
          <w:b w:val="1"/>
          <w:bCs w:val="1"/>
          <w:sz w:val="28"/>
          <w:szCs w:val="28"/>
          <w:u w:val="single"/>
          <w:rtl w:val="0"/>
        </w:rPr>
        <w:t xml:space="preserve">não </w:t>
      </w:r>
      <w:r w:rsidDel="00000000" w:rsidR="00000000" w:rsidRPr="00000000">
        <w:rPr>
          <w:sz w:val="28"/>
          <w:szCs w:val="28"/>
          <w:rtl w:val="0"/>
        </w:rPr>
        <w:t xml:space="preserve">haverá sessão de julgamento no dia </w:t>
      </w:r>
      <w:r w:rsidDel="00000000" w:rsidR="00000000" w:rsidRPr="00000000">
        <w:rPr>
          <w:b w:val="1"/>
          <w:bCs w:val="1"/>
          <w:sz w:val="28"/>
          <w:szCs w:val="28"/>
          <w:rtl w:val="0"/>
        </w:rPr>
        <w:t xml:space="preserve">13.07.2026</w:t>
      </w:r>
      <w:r w:rsidDel="00000000" w:rsidR="00000000" w:rsidRPr="00000000">
        <w:rPr>
          <w:sz w:val="28"/>
          <w:szCs w:val="28"/>
          <w:rtl w:val="0"/>
        </w:rPr>
        <w:t xml:space="preserve">.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