
<file path=[Content_Types].xml><?xml version="1.0" encoding="utf-8"?>
<Types xmlns="http://schemas.openxmlformats.org/package/2006/content-types">
  <Default ContentType="application/xml" Extension="xml"/>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t xml:space="preserve">Comunica-se que, no dia 13 de abril de 2026, não será realizada sessão de julgamento da Primeira Câmara Cível, em virtude da realização da Sessão Solene de Posse dos novos Juízes de Direito Substitutos do Estado do Amazonas.</w:t>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bCs w:val="0"/>
      <w:sz w:val="32"/>
      <w:szCs w:val="32"/>
    </w:rPr>
  </w:style>
  <w:style w:type="paragraph" w:styleId="Heading3">
    <w:name w:val="heading 3"/>
    <w:basedOn w:val="Normal"/>
    <w:next w:val="Normal"/>
    <w:pPr>
      <w:keepNext w:val="1"/>
      <w:keepLines w:val="1"/>
      <w:pageBreakBefore w:val="0"/>
      <w:spacing w:after="80" w:before="320" w:lineRule="auto"/>
    </w:pPr>
    <w:rPr>
      <w:b w:val="0"/>
      <w:bCs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iCs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iCs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