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tbl>
      <w:tblPr>
        <w:tblW w:w="0" w:type="auto"/>
        <w:jc w:val="left"/>
        <w:tblInd w:w="12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3"/>
        <w:gridCol w:w="1932"/>
        <w:gridCol w:w="578"/>
        <w:gridCol w:w="578"/>
        <w:gridCol w:w="692"/>
        <w:gridCol w:w="663"/>
        <w:gridCol w:w="634"/>
        <w:gridCol w:w="2434"/>
        <w:gridCol w:w="726"/>
        <w:gridCol w:w="629"/>
        <w:gridCol w:w="737"/>
      </w:tblGrid>
      <w:tr>
        <w:trPr>
          <w:trHeight w:val="362" w:hRule="atLeast"/>
        </w:trPr>
        <w:tc>
          <w:tcPr>
            <w:tcW w:w="583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29" w:right="17"/>
              <w:jc w:val="center"/>
              <w:rPr>
                <w:rFonts w:ascii="Arial" w:hAnsi="Arial"/>
                <w:b/>
                <w:sz w:val="7"/>
              </w:rPr>
            </w:pPr>
            <w:bookmarkStart w:name="SEINF" w:id="1"/>
            <w:bookmarkEnd w:id="1"/>
            <w:r>
              <w:rPr/>
            </w:r>
            <w:r>
              <w:rPr>
                <w:rFonts w:ascii="Arial" w:hAnsi="Arial"/>
                <w:b/>
                <w:color w:val="FFFFFF"/>
                <w:sz w:val="7"/>
              </w:rPr>
              <w:t>Código</w:t>
            </w:r>
            <w:r>
              <w:rPr>
                <w:rFonts w:ascii="Arial" w:hAnsi="Arial"/>
                <w:b/>
                <w:color w:val="FFFFFF"/>
                <w:spacing w:val="3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sz w:val="7"/>
              </w:rPr>
              <w:t>SIASG</w:t>
            </w:r>
          </w:p>
        </w:tc>
        <w:tc>
          <w:tcPr>
            <w:tcW w:w="1932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767" w:right="758"/>
              <w:jc w:val="center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color w:val="FFFFFF"/>
                <w:w w:val="105"/>
                <w:sz w:val="7"/>
              </w:rPr>
              <w:t>Descrição</w:t>
            </w:r>
          </w:p>
        </w:tc>
        <w:tc>
          <w:tcPr>
            <w:tcW w:w="578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62" w:right="51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color w:val="FFFFFF"/>
                <w:w w:val="105"/>
                <w:sz w:val="7"/>
              </w:rPr>
              <w:t>Unidade</w:t>
            </w:r>
          </w:p>
        </w:tc>
        <w:tc>
          <w:tcPr>
            <w:tcW w:w="578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62" w:right="55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color w:val="FFFFFF"/>
                <w:w w:val="105"/>
                <w:sz w:val="7"/>
              </w:rPr>
              <w:t>Quantidade</w:t>
            </w:r>
          </w:p>
        </w:tc>
        <w:tc>
          <w:tcPr>
            <w:tcW w:w="692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79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color w:val="FFFFFF"/>
                <w:sz w:val="7"/>
              </w:rPr>
              <w:t>Valor</w:t>
            </w:r>
            <w:r>
              <w:rPr>
                <w:rFonts w:ascii="Arial"/>
                <w:b/>
                <w:color w:val="FFFFFF"/>
                <w:spacing w:val="1"/>
                <w:sz w:val="7"/>
              </w:rPr>
              <w:t> </w:t>
            </w:r>
            <w:r>
              <w:rPr>
                <w:rFonts w:ascii="Arial"/>
                <w:b/>
                <w:color w:val="FFFFFF"/>
                <w:sz w:val="7"/>
              </w:rPr>
              <w:t>Estimado</w:t>
            </w:r>
          </w:p>
        </w:tc>
        <w:tc>
          <w:tcPr>
            <w:tcW w:w="663" w:type="dxa"/>
            <w:shd w:val="clear" w:color="auto" w:fill="4985E7"/>
          </w:tcPr>
          <w:p>
            <w:pPr>
              <w:pStyle w:val="TableParagraph"/>
              <w:spacing w:before="21"/>
              <w:ind w:left="49" w:right="20" w:hanging="25"/>
              <w:jc w:val="center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color w:val="FFFFFF"/>
                <w:w w:val="105"/>
                <w:sz w:val="7"/>
              </w:rPr>
              <w:t>Grau de</w:t>
            </w:r>
            <w:r>
              <w:rPr>
                <w:rFonts w:ascii="Arial" w:hAnsi="Arial"/>
                <w:b/>
                <w:color w:val="FFFFFF"/>
                <w:spacing w:val="1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Prioridade</w:t>
            </w:r>
            <w:r>
              <w:rPr>
                <w:rFonts w:ascii="Arial" w:hAnsi="Arial"/>
                <w:b/>
                <w:color w:val="FFFFFF"/>
                <w:spacing w:val="1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w w:val="105"/>
                <w:sz w:val="7"/>
              </w:rPr>
              <w:t>(Baixo, </w:t>
            </w:r>
            <w:r>
              <w:rPr>
                <w:rFonts w:ascii="Arial" w:hAnsi="Arial"/>
                <w:b/>
                <w:color w:val="FFFFFF"/>
                <w:spacing w:val="-1"/>
                <w:w w:val="105"/>
                <w:sz w:val="7"/>
              </w:rPr>
              <w:t>Médio ou</w:t>
            </w:r>
            <w:r>
              <w:rPr>
                <w:rFonts w:ascii="Arial" w:hAnsi="Arial"/>
                <w:b/>
                <w:color w:val="FFFFFF"/>
                <w:spacing w:val="-18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Alto)</w:t>
            </w:r>
          </w:p>
        </w:tc>
        <w:tc>
          <w:tcPr>
            <w:tcW w:w="634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50" w:right="45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color w:val="FFFFFF"/>
                <w:sz w:val="7"/>
              </w:rPr>
              <w:t>Data</w:t>
            </w:r>
            <w:r>
              <w:rPr>
                <w:rFonts w:ascii="Arial"/>
                <w:b/>
                <w:color w:val="FFFFFF"/>
                <w:spacing w:val="1"/>
                <w:sz w:val="7"/>
              </w:rPr>
              <w:t> </w:t>
            </w:r>
            <w:r>
              <w:rPr>
                <w:rFonts w:ascii="Arial"/>
                <w:b/>
                <w:color w:val="FFFFFF"/>
                <w:sz w:val="7"/>
              </w:rPr>
              <w:t>Estimada</w:t>
            </w:r>
          </w:p>
        </w:tc>
        <w:tc>
          <w:tcPr>
            <w:tcW w:w="2434" w:type="dxa"/>
            <w:shd w:val="clear" w:color="auto" w:fill="4985E7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  <w:p>
            <w:pPr>
              <w:pStyle w:val="TableParagraph"/>
              <w:spacing w:before="49"/>
              <w:ind w:left="979" w:right="974"/>
              <w:jc w:val="center"/>
              <w:rPr>
                <w:rFonts w:ascii="Arial"/>
                <w:b/>
                <w:sz w:val="7"/>
              </w:rPr>
            </w:pPr>
            <w:r>
              <w:rPr>
                <w:rFonts w:ascii="Arial"/>
                <w:b/>
                <w:color w:val="FFFFFF"/>
                <w:w w:val="105"/>
                <w:sz w:val="7"/>
              </w:rPr>
              <w:t>Justificativa</w:t>
            </w:r>
          </w:p>
        </w:tc>
        <w:tc>
          <w:tcPr>
            <w:tcW w:w="726" w:type="dxa"/>
            <w:shd w:val="clear" w:color="auto" w:fill="4985E7"/>
          </w:tcPr>
          <w:p>
            <w:pPr>
              <w:pStyle w:val="TableParagraph"/>
              <w:spacing w:before="9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180" w:right="41" w:hanging="131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color w:val="FFFFFF"/>
                <w:sz w:val="7"/>
              </w:rPr>
              <w:t>Nova</w:t>
            </w:r>
            <w:r>
              <w:rPr>
                <w:rFonts w:ascii="Arial" w:hAnsi="Arial"/>
                <w:b/>
                <w:color w:val="FFFFFF"/>
                <w:spacing w:val="1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sz w:val="7"/>
              </w:rPr>
              <w:t>Contratação</w:t>
            </w:r>
            <w:r>
              <w:rPr>
                <w:rFonts w:ascii="Arial" w:hAnsi="Arial"/>
                <w:b/>
                <w:color w:val="FFFFFF"/>
                <w:spacing w:val="1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(Sim</w:t>
            </w:r>
            <w:r>
              <w:rPr>
                <w:rFonts w:ascii="Arial" w:hAnsi="Arial"/>
                <w:b/>
                <w:color w:val="FFFFFF"/>
                <w:spacing w:val="-3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/</w:t>
            </w:r>
            <w:r>
              <w:rPr>
                <w:rFonts w:ascii="Arial" w:hAnsi="Arial"/>
                <w:b/>
                <w:color w:val="FFFFFF"/>
                <w:spacing w:val="-3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Não)</w:t>
            </w:r>
          </w:p>
        </w:tc>
        <w:tc>
          <w:tcPr>
            <w:tcW w:w="629" w:type="dxa"/>
            <w:shd w:val="clear" w:color="auto" w:fill="4985E7"/>
          </w:tcPr>
          <w:p>
            <w:pPr>
              <w:pStyle w:val="TableParagraph"/>
              <w:spacing w:before="9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4" w:right="-5" w:firstLine="57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color w:val="FFFFFF"/>
                <w:w w:val="105"/>
                <w:sz w:val="7"/>
              </w:rPr>
              <w:t>Vínculo com o</w:t>
            </w:r>
            <w:r>
              <w:rPr>
                <w:rFonts w:ascii="Arial" w:hAnsi="Arial"/>
                <w:b/>
                <w:color w:val="FFFFFF"/>
                <w:spacing w:val="1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sz w:val="7"/>
              </w:rPr>
              <w:t>Plano</w:t>
            </w:r>
            <w:r>
              <w:rPr>
                <w:rFonts w:ascii="Arial" w:hAnsi="Arial"/>
                <w:b/>
                <w:color w:val="FFFFFF"/>
                <w:spacing w:val="3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sz w:val="7"/>
              </w:rPr>
              <w:t>Estratégico</w:t>
            </w:r>
          </w:p>
        </w:tc>
        <w:tc>
          <w:tcPr>
            <w:tcW w:w="737" w:type="dxa"/>
            <w:shd w:val="clear" w:color="auto" w:fill="4985E7"/>
          </w:tcPr>
          <w:p>
            <w:pPr>
              <w:pStyle w:val="TableParagraph"/>
              <w:spacing w:before="21"/>
              <w:ind w:left="79" w:right="74"/>
              <w:jc w:val="center"/>
              <w:rPr>
                <w:rFonts w:ascii="Arial" w:hAnsi="Arial"/>
                <w:b/>
                <w:sz w:val="7"/>
              </w:rPr>
            </w:pPr>
            <w:r>
              <w:rPr>
                <w:rFonts w:ascii="Arial" w:hAnsi="Arial"/>
                <w:b/>
                <w:color w:val="FFFFFF"/>
                <w:sz w:val="7"/>
              </w:rPr>
              <w:t>Classificação</w:t>
            </w:r>
            <w:r>
              <w:rPr>
                <w:rFonts w:ascii="Arial" w:hAnsi="Arial"/>
                <w:b/>
                <w:color w:val="FFFFFF"/>
                <w:spacing w:val="1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sz w:val="7"/>
              </w:rPr>
              <w:t>da</w:t>
            </w:r>
            <w:r>
              <w:rPr>
                <w:rFonts w:ascii="Arial" w:hAnsi="Arial"/>
                <w:b/>
                <w:color w:val="FFFFFF"/>
                <w:spacing w:val="-16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Despesa</w:t>
            </w:r>
            <w:r>
              <w:rPr>
                <w:rFonts w:ascii="Arial" w:hAnsi="Arial"/>
                <w:b/>
                <w:color w:val="FFFFFF"/>
                <w:spacing w:val="1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(Custeio /</w:t>
            </w:r>
            <w:r>
              <w:rPr>
                <w:rFonts w:ascii="Arial" w:hAnsi="Arial"/>
                <w:b/>
                <w:color w:val="FFFFFF"/>
                <w:spacing w:val="1"/>
                <w:w w:val="105"/>
                <w:sz w:val="7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7"/>
              </w:rPr>
              <w:t>Investimento)</w:t>
            </w:r>
          </w:p>
        </w:tc>
      </w:tr>
      <w:tr>
        <w:trPr>
          <w:trHeight w:val="100" w:hRule="atLeast"/>
        </w:trPr>
        <w:tc>
          <w:tcPr>
            <w:tcW w:w="10186" w:type="dxa"/>
            <w:gridSpan w:val="11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80" w:lineRule="exact" w:before="1"/>
              <w:ind w:left="4662" w:right="4657"/>
              <w:jc w:val="center"/>
              <w:rPr>
                <w:b/>
                <w:sz w:val="8"/>
              </w:rPr>
            </w:pPr>
            <w:r>
              <w:rPr>
                <w:b/>
                <w:color w:val="001F5F"/>
                <w:w w:val="105"/>
                <w:sz w:val="8"/>
              </w:rPr>
              <w:t>PLANO</w:t>
            </w:r>
            <w:r>
              <w:rPr>
                <w:b/>
                <w:color w:val="001F5F"/>
                <w:spacing w:val="6"/>
                <w:w w:val="105"/>
                <w:sz w:val="8"/>
              </w:rPr>
              <w:t> </w:t>
            </w:r>
            <w:r>
              <w:rPr>
                <w:b/>
                <w:color w:val="001F5F"/>
                <w:w w:val="105"/>
                <w:sz w:val="8"/>
              </w:rPr>
              <w:t>DE</w:t>
            </w:r>
            <w:r>
              <w:rPr>
                <w:b/>
                <w:color w:val="001F5F"/>
                <w:spacing w:val="1"/>
                <w:w w:val="105"/>
                <w:sz w:val="8"/>
              </w:rPr>
              <w:t> </w:t>
            </w:r>
            <w:r>
              <w:rPr>
                <w:b/>
                <w:color w:val="001F5F"/>
                <w:w w:val="105"/>
                <w:sz w:val="8"/>
              </w:rPr>
              <w:t>OBRAS</w:t>
            </w:r>
            <w:r>
              <w:rPr>
                <w:b/>
                <w:color w:val="001F5F"/>
                <w:spacing w:val="2"/>
                <w:w w:val="105"/>
                <w:sz w:val="8"/>
              </w:rPr>
              <w:t> </w:t>
            </w:r>
            <w:r>
              <w:rPr>
                <w:b/>
                <w:color w:val="001F5F"/>
                <w:w w:val="105"/>
                <w:sz w:val="8"/>
              </w:rPr>
              <w:t>2022</w:t>
            </w:r>
          </w:p>
        </w:tc>
      </w:tr>
      <w:tr>
        <w:trPr>
          <w:trHeight w:val="1113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5622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Construção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do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Centro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de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Práticas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Pedagógicas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R$ 8.000.000,00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line="201" w:lineRule="auto"/>
              <w:ind w:left="4" w:right="9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Necessidade de uma melhor estrutura para desenvolver os trabalhos de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capacitação do corpo funcional deste Poder, </w:t>
            </w:r>
            <w:r>
              <w:rPr>
                <w:b/>
                <w:color w:val="001F5F"/>
                <w:w w:val="105"/>
                <w:sz w:val="7"/>
              </w:rPr>
              <w:t>visando também à liberação de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espaço físico </w:t>
            </w:r>
            <w:r>
              <w:rPr>
                <w:b/>
                <w:color w:val="001F5F"/>
                <w:w w:val="105"/>
                <w:sz w:val="7"/>
              </w:rPr>
              <w:t>para redefinição de local das unidades Judiciárias abrangendo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CentroA dministrativo Des. Jose Jesus Ferreira Lopes e Arnoldo Péres. </w:t>
            </w:r>
            <w:r>
              <w:rPr>
                <w:b/>
                <w:color w:val="001F5F"/>
                <w:w w:val="105"/>
                <w:sz w:val="7"/>
              </w:rPr>
              <w:t>Planejado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as transferências da seguinte orma:1. construção do Centro de Práticas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Pedagógicas para inclusão das unidades destinadas, gerando </w:t>
            </w:r>
            <w:r>
              <w:rPr>
                <w:b/>
                <w:color w:val="001F5F"/>
                <w:w w:val="105"/>
                <w:sz w:val="7"/>
              </w:rPr>
              <w:t>espaço noedifício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Centro Administrativo </w:t>
            </w:r>
            <w:r>
              <w:rPr>
                <w:b/>
                <w:color w:val="001F5F"/>
                <w:w w:val="105"/>
                <w:sz w:val="7"/>
              </w:rPr>
              <w:t>Des. José Jesus Ferreira Lopes; 2. transferências das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unidades administrativas do Ed. Arnoldo Péres </w:t>
            </w:r>
            <w:r>
              <w:rPr>
                <w:b/>
                <w:color w:val="001F5F"/>
                <w:w w:val="105"/>
                <w:sz w:val="7"/>
              </w:rPr>
              <w:t>para o espaço disponibilizado no</w:t>
            </w:r>
            <w:r>
              <w:rPr>
                <w:b/>
                <w:color w:val="001F5F"/>
                <w:spacing w:val="-1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Centro Administrativo Des. José Jesus Ferreira Lopes; 3. criação de novos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Gabinetes </w:t>
            </w:r>
            <w:r>
              <w:rPr>
                <w:b/>
                <w:color w:val="001F5F"/>
                <w:w w:val="105"/>
                <w:sz w:val="7"/>
              </w:rPr>
              <w:t>na Sede deste Poder nos espaços disponibilizados que incluem: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Gabinete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da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Presidência,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Gabinete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da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Vice-Presidência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e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Corregedoria.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sz w:val="8"/>
              </w:rPr>
            </w:pPr>
          </w:p>
          <w:p>
            <w:pPr>
              <w:pStyle w:val="TableParagraph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540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1627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Reestruturação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Fórum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Min.</w:t>
            </w:r>
            <w:r>
              <w:rPr>
                <w:b/>
                <w:color w:val="001F5F"/>
                <w:spacing w:val="3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Henoch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Reis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89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R$ 11.000.000,00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auto" w:before="53"/>
              <w:ind w:left="4" w:right="9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Possuindo o maior fluxo de atendimento </w:t>
            </w:r>
            <w:r>
              <w:rPr>
                <w:b/>
                <w:color w:val="001F5F"/>
                <w:w w:val="105"/>
                <w:sz w:val="7"/>
              </w:rPr>
              <w:t>aos jurisdicionados, atualmente 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edifício do referido Fórum encontra-se defasadoconsiderando </w:t>
            </w:r>
            <w:r>
              <w:rPr>
                <w:b/>
                <w:color w:val="001F5F"/>
                <w:w w:val="105"/>
                <w:sz w:val="7"/>
              </w:rPr>
              <w:t>o tempo de sua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inauguração, bem como problemas de infiltração e elétrica, inclusive as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unidades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do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Poder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Judiciários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que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o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compõem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carecem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de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adaptações.</w:t>
            </w:r>
          </w:p>
          <w:p>
            <w:pPr>
              <w:pStyle w:val="TableParagraph"/>
              <w:spacing w:line="201" w:lineRule="auto" w:before="1"/>
              <w:ind w:left="4" w:right="9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Tornando essenciais</w:t>
            </w:r>
            <w:r>
              <w:rPr>
                <w:b/>
                <w:color w:val="001F5F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medidas de</w:t>
            </w:r>
            <w:r>
              <w:rPr>
                <w:b/>
                <w:color w:val="001F5F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dequações e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ampliações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para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a revitalização</w:t>
            </w:r>
            <w:r>
              <w:rPr>
                <w:b/>
                <w:color w:val="001F5F"/>
                <w:w w:val="105"/>
                <w:sz w:val="7"/>
              </w:rPr>
              <w:t> de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um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dos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nossos maiores Tribunais.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632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1627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line="201" w:lineRule="auto" w:before="35"/>
              <w:ind w:left="7" w:right="1149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Reestruturação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Fórum</w:t>
            </w:r>
            <w:r>
              <w:rPr>
                <w:b/>
                <w:color w:val="001F5F"/>
                <w:spacing w:val="-13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Des.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Mário</w:t>
            </w:r>
            <w:r>
              <w:rPr>
                <w:b/>
                <w:color w:val="001F5F"/>
                <w:spacing w:val="-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Verçosa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R$ 2.000.000,00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line="201" w:lineRule="auto"/>
              <w:ind w:left="4" w:right="560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Considerando o tempo de inauguração e o projeto com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capacidade média para cinco (5) juizados, atualmente 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Edifício do Fórum Des. Mário Verçosa encontra-se </w:t>
            </w:r>
            <w:r>
              <w:rPr>
                <w:b/>
                <w:color w:val="001F5F"/>
                <w:w w:val="105"/>
                <w:sz w:val="7"/>
              </w:rPr>
              <w:t>defasado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lotando em sua capacidade arquitetônica </w:t>
            </w:r>
            <w:r>
              <w:rPr>
                <w:b/>
                <w:color w:val="001F5F"/>
                <w:w w:val="105"/>
                <w:sz w:val="7"/>
              </w:rPr>
              <w:t>o dobro do previsto</w:t>
            </w:r>
            <w:r>
              <w:rPr>
                <w:b/>
                <w:color w:val="001F5F"/>
                <w:spacing w:val="-14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de unidades judiciais, apresentando problemas </w:t>
            </w:r>
            <w:r>
              <w:rPr>
                <w:b/>
                <w:color w:val="001F5F"/>
                <w:w w:val="105"/>
                <w:sz w:val="7"/>
              </w:rPr>
              <w:t>com elétrica,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necessitando de adequações no poço e adaptação da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subestação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para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o bom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funcionamento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dos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serviços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básicos.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5"/>
              </w:rPr>
            </w:pPr>
          </w:p>
          <w:p>
            <w:pPr>
              <w:pStyle w:val="TableParagraph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632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5622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Construção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Fórum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de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Novo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Airão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R$ 2.914.833,36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line="201" w:lineRule="auto"/>
              <w:ind w:left="4" w:right="642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Considerando o Relatório de Correição - CGJ 2018 434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anexado na fl. 03 do Processo Administrativo </w:t>
            </w:r>
            <w:r>
              <w:rPr>
                <w:b/>
                <w:color w:val="001F5F"/>
                <w:w w:val="105"/>
                <w:sz w:val="7"/>
              </w:rPr>
              <w:t>CGJ 2018 434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que versa sobre atual situação </w:t>
            </w:r>
            <w:r>
              <w:rPr>
                <w:b/>
                <w:color w:val="001F5F"/>
                <w:w w:val="105"/>
                <w:sz w:val="7"/>
              </w:rPr>
              <w:t>do Fórum que funciona de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forma improvisada nas dependências </w:t>
            </w:r>
            <w:r>
              <w:rPr>
                <w:b/>
                <w:color w:val="001F5F"/>
                <w:w w:val="105"/>
                <w:sz w:val="7"/>
              </w:rPr>
              <w:t>do Conselho Tutelar,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uma vez que o prédio no qual estava </w:t>
            </w:r>
            <w:r>
              <w:rPr>
                <w:b/>
                <w:color w:val="001F5F"/>
                <w:w w:val="105"/>
                <w:sz w:val="7"/>
              </w:rPr>
              <w:t>instalado foi atingido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por incêndio de grande proporção que </w:t>
            </w:r>
            <w:r>
              <w:rPr>
                <w:b/>
                <w:color w:val="001F5F"/>
                <w:w w:val="105"/>
                <w:sz w:val="7"/>
              </w:rPr>
              <w:t>impossibilitou a sua</w:t>
            </w:r>
            <w:r>
              <w:rPr>
                <w:b/>
                <w:color w:val="001F5F"/>
                <w:spacing w:val="-1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utilização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pelo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Poder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Judiciário.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>
            <w:pPr>
              <w:pStyle w:val="TableParagraph"/>
              <w:spacing w:before="1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724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5622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Construção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Fórum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de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Carauari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R$ 3.731.779,65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line="204" w:lineRule="auto" w:before="1"/>
              <w:ind w:left="4" w:right="574"/>
              <w:rPr>
                <w:b/>
                <w:bCs/>
                <w:sz w:val="7"/>
                <w:szCs w:val="7"/>
              </w:rPr>
            </w:pP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Considerando o Ofício nᵒ459/2014-PJC, mencionado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na fl. 02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do Proc. Administrativo 2014/017397,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retratando a condição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precária da Comarca de Carauari, onde seu edifício fora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construído há mais de seis décadas e, sem a manutenção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regular, ocasionou em sua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estrutura instabilidades como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fissuras,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rachaduras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e</w:t>
            </w:r>
            <w:r>
              <w:rPr>
                <w:b/>
                <w:bCs/>
                <w:color w:val="001F5F"/>
                <w:spacing w:val="2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proliferação</w:t>
            </w:r>
            <w:r>
              <w:rPr>
                <w:b/>
                <w:bCs/>
                <w:color w:val="001F5F"/>
                <w:spacing w:val="2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de pragas,</w:t>
            </w:r>
            <w:r>
              <w:rPr>
                <w:b/>
                <w:bCs/>
                <w:color w:val="001F5F"/>
                <w:spacing w:val="2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além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da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falta</w:t>
            </w:r>
            <w:r>
              <w:rPr>
                <w:b/>
                <w:bCs/>
                <w:color w:val="001F5F"/>
                <w:spacing w:val="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de segurança no armazenamento de feitos, de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objetos, frutos</w:t>
            </w:r>
            <w:r>
              <w:rPr>
                <w:b/>
                <w:bCs/>
                <w:color w:val="001F5F"/>
                <w:spacing w:val="-14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de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inquéritos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e</w:t>
            </w:r>
            <w:r>
              <w:rPr>
                <w:b/>
                <w:bCs/>
                <w:color w:val="001F5F"/>
                <w:spacing w:val="-3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a</w:t>
            </w:r>
            <w:r>
              <w:rPr>
                <w:b/>
                <w:bCs/>
                <w:color w:val="001F5F"/>
                <w:spacing w:val="-1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guarda</w:t>
            </w:r>
            <w:r>
              <w:rPr>
                <w:b/>
                <w:bCs/>
                <w:color w:val="001F5F"/>
                <w:spacing w:val="-2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de</w:t>
            </w:r>
            <w:r>
              <w:rPr>
                <w:b/>
                <w:bCs/>
                <w:color w:val="001F5F"/>
                <w:spacing w:val="-3"/>
                <w:w w:val="105"/>
                <w:sz w:val="7"/>
                <w:szCs w:val="7"/>
              </w:rPr>
              <w:t> </w:t>
            </w:r>
            <w:r>
              <w:rPr>
                <w:b/>
                <w:bCs/>
                <w:color w:val="001F5F"/>
                <w:w w:val="105"/>
                <w:sz w:val="7"/>
                <w:szCs w:val="7"/>
              </w:rPr>
              <w:t>processos físicos.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540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5622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Construção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Fórum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de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Iranduba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R$ 3.700.000,00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auto" w:before="53"/>
              <w:ind w:left="4" w:right="587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Considerando a antiguidade do Fórum que </w:t>
            </w:r>
            <w:r>
              <w:rPr>
                <w:b/>
                <w:color w:val="001F5F"/>
                <w:w w:val="105"/>
                <w:sz w:val="7"/>
              </w:rPr>
              <w:t>possui problemas</w:t>
            </w:r>
            <w:r>
              <w:rPr>
                <w:b/>
                <w:color w:val="001F5F"/>
                <w:spacing w:val="-14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com o sistema elétrico e infiltração, bem como a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precariedade </w:t>
            </w:r>
            <w:r>
              <w:rPr>
                <w:b/>
                <w:color w:val="001F5F"/>
                <w:w w:val="105"/>
                <w:sz w:val="7"/>
              </w:rPr>
              <w:t>na estrutura física, faz-se necessário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providências para </w:t>
            </w:r>
            <w:r>
              <w:rPr>
                <w:b/>
                <w:color w:val="001F5F"/>
                <w:w w:val="105"/>
                <w:sz w:val="7"/>
              </w:rPr>
              <w:t>proporcionar um ambiente de trabalho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adequado aos servidores e magistrados que atuam no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Fórum.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Times New Roman"/>
                <w:sz w:val="7"/>
              </w:rPr>
            </w:pPr>
          </w:p>
          <w:p>
            <w:pPr>
              <w:pStyle w:val="TableParagraph"/>
              <w:spacing w:before="1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448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1627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Reforma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do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Fórum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da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Comarca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de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Maués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R$ 1.276.617,23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auto" w:before="42"/>
              <w:ind w:left="4" w:right="612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Considerando a antiguidade do Fórum que apresenta </w:t>
            </w:r>
            <w:r>
              <w:rPr>
                <w:b/>
                <w:color w:val="001F5F"/>
                <w:w w:val="105"/>
                <w:sz w:val="7"/>
              </w:rPr>
              <w:t>graves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problemas de infiltração, bem como necessidade de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manutenção corretiva, faz-se necessário providências </w:t>
            </w:r>
            <w:r>
              <w:rPr>
                <w:b/>
                <w:color w:val="001F5F"/>
                <w:w w:val="105"/>
                <w:sz w:val="7"/>
              </w:rPr>
              <w:t>para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proporcionar um ambiente de trabalho adequado aos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servidores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e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magistrados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que</w:t>
            </w:r>
            <w:r>
              <w:rPr>
                <w:b/>
                <w:color w:val="001F5F"/>
                <w:spacing w:val="-3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atuam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no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Fórum.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8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173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5622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Estacionamento Lateral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Sede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-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Vagas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PCD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e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Idosos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135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</w:t>
            </w:r>
            <w:r>
              <w:rPr>
                <w:b/>
                <w:color w:val="001F5F"/>
                <w:spacing w:val="-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133.009,07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72" w:lineRule="exact" w:before="9"/>
              <w:ind w:left="4" w:right="631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Implementação quanto a Acessibilidade, conforme </w:t>
            </w:r>
            <w:r>
              <w:rPr>
                <w:b/>
                <w:color w:val="001F5F"/>
                <w:w w:val="105"/>
                <w:sz w:val="7"/>
              </w:rPr>
              <w:t>previsto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na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Resolução nº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401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de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2021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CNJ.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  <w:tr>
        <w:trPr>
          <w:trHeight w:val="448" w:hRule="atLeast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198" w:right="186"/>
              <w:jc w:val="center"/>
              <w:rPr>
                <w:sz w:val="7"/>
              </w:rPr>
            </w:pPr>
            <w:r>
              <w:rPr>
                <w:color w:val="001F5F"/>
                <w:w w:val="105"/>
                <w:sz w:val="7"/>
              </w:rPr>
              <w:t>1627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Contrato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20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2020</w:t>
            </w:r>
            <w:r>
              <w:rPr>
                <w:b/>
                <w:color w:val="001F5F"/>
                <w:spacing w:val="1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FUNJEAM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-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Manutenção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predial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sob</w:t>
            </w:r>
            <w:r>
              <w:rPr>
                <w:b/>
                <w:color w:val="001F5F"/>
                <w:spacing w:val="2"/>
                <w:sz w:val="7"/>
              </w:rPr>
              <w:t> </w:t>
            </w:r>
            <w:r>
              <w:rPr>
                <w:b/>
                <w:color w:val="001F5F"/>
                <w:sz w:val="7"/>
              </w:rPr>
              <w:t>demanda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25" w:right="1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UND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7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2"/>
                <w:sz w:val="7"/>
              </w:rPr>
              <w:t>1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107"/>
              <w:rPr>
                <w:b/>
                <w:sz w:val="7"/>
              </w:rPr>
            </w:pPr>
            <w:r>
              <w:rPr>
                <w:b/>
                <w:color w:val="001F5F"/>
                <w:sz w:val="7"/>
              </w:rPr>
              <w:t>R$ 2.500.000,00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246" w:right="239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Alto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220" w:right="214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2022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auto" w:before="42"/>
              <w:ind w:left="4" w:right="390"/>
              <w:rPr>
                <w:b/>
                <w:sz w:val="7"/>
              </w:rPr>
            </w:pPr>
            <w:r>
              <w:rPr>
                <w:b/>
                <w:color w:val="001F5F"/>
                <w:spacing w:val="-1"/>
                <w:w w:val="105"/>
                <w:sz w:val="7"/>
              </w:rPr>
              <w:t>A Secretaria</w:t>
            </w:r>
            <w:r>
              <w:rPr>
                <w:b/>
                <w:color w:val="001F5F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de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Infraestrutura</w:t>
            </w:r>
            <w:r>
              <w:rPr>
                <w:b/>
                <w:color w:val="001F5F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possui uma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alta demanda</w:t>
            </w:r>
            <w:r>
              <w:rPr>
                <w:b/>
                <w:color w:val="001F5F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pertinente</w:t>
            </w:r>
            <w:r>
              <w:rPr>
                <w:b/>
                <w:color w:val="001F5F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as solicitações de prestação de </w:t>
            </w:r>
            <w:r>
              <w:rPr>
                <w:b/>
                <w:color w:val="001F5F"/>
                <w:w w:val="105"/>
                <w:sz w:val="7"/>
              </w:rPr>
              <w:t>serviços de engenharia, sendo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essencial a renovação contratual do referido objeto para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spacing w:val="-1"/>
                <w:w w:val="105"/>
                <w:sz w:val="7"/>
              </w:rPr>
              <w:t>continuidade do atendimento </w:t>
            </w:r>
            <w:r>
              <w:rPr>
                <w:b/>
                <w:color w:val="001F5F"/>
                <w:w w:val="105"/>
                <w:sz w:val="7"/>
              </w:rPr>
              <w:t>breve para manutenção corretiva e</w:t>
            </w:r>
            <w:r>
              <w:rPr>
                <w:b/>
                <w:color w:val="001F5F"/>
                <w:spacing w:val="1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preventiva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de</w:t>
            </w:r>
            <w:r>
              <w:rPr>
                <w:b/>
                <w:color w:val="001F5F"/>
                <w:spacing w:val="-2"/>
                <w:w w:val="105"/>
                <w:sz w:val="7"/>
              </w:rPr>
              <w:t> </w:t>
            </w:r>
            <w:r>
              <w:rPr>
                <w:b/>
                <w:color w:val="001F5F"/>
                <w:w w:val="105"/>
                <w:sz w:val="7"/>
              </w:rPr>
              <w:t>pequeno porte.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right="296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right="249"/>
              <w:jc w:val="right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Sim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rPr>
                <w:rFonts w:ascii="Times New Roman"/>
                <w:sz w:val="6"/>
              </w:rPr>
            </w:pPr>
          </w:p>
          <w:p>
            <w:pPr>
              <w:pStyle w:val="TableParagraph"/>
              <w:spacing w:before="37"/>
              <w:ind w:left="143" w:right="138"/>
              <w:jc w:val="center"/>
              <w:rPr>
                <w:b/>
                <w:sz w:val="7"/>
              </w:rPr>
            </w:pPr>
            <w:r>
              <w:rPr>
                <w:b/>
                <w:color w:val="001F5F"/>
                <w:w w:val="105"/>
                <w:sz w:val="7"/>
              </w:rPr>
              <w:t>Investimento</w:t>
            </w:r>
          </w:p>
        </w:tc>
      </w:tr>
    </w:tbl>
    <w:sectPr>
      <w:type w:val="continuous"/>
      <w:pgSz w:w="11910" w:h="16840"/>
      <w:pgMar w:top="1100" w:bottom="280" w:left="62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Calibri" w:hAnsi="Calibri" w:eastAsia="Calibri" w:cs="Calibri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2023-07-27T14:49:03Z</dcterms:created>
  <dcterms:modified xsi:type="dcterms:W3CDTF">2023-07-27T14:49:03Z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2022-05-04T00:00:00Z</vt:filetime>
  </property>
  <property fmtid="{D5CDD505-2E9C-101B-9397-08002B2CF9AE}" pid="3" name="Creator">
    <vt:lpwstr>Calc</vt:lpwstr>
  </property>
  <property fmtid="{D5CDD505-2E9C-101B-9397-08002B2CF9AE}" pid="4" name="LastSaved">
    <vt:filetime>2022-05-04T00:00:00Z</vt:filetime>
  </property>
</Properties>
</file>